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Pr="0077276C" w:rsidRDefault="0041491B" w:rsidP="0041491B">
      <w:pPr>
        <w:rPr>
          <w:lang w:val="en-GB"/>
        </w:rPr>
      </w:pPr>
    </w:p>
    <w:p w14:paraId="0071F47C" w14:textId="77777777" w:rsidR="00B64D14" w:rsidRDefault="00B64D14" w:rsidP="00F9119E">
      <w:pPr>
        <w:pStyle w:val="Title"/>
        <w:rPr>
          <w:b/>
          <w:bCs/>
          <w:sz w:val="68"/>
          <w:szCs w:val="68"/>
          <w:lang w:val="en-GB"/>
        </w:rPr>
      </w:pPr>
    </w:p>
    <w:p w14:paraId="69CC151A" w14:textId="3B106EA8" w:rsidR="00EF3740" w:rsidRPr="00EF3740" w:rsidRDefault="00EF3740" w:rsidP="00F9119E">
      <w:pPr>
        <w:pStyle w:val="Title"/>
        <w:rPr>
          <w:b/>
          <w:bCs/>
          <w:sz w:val="68"/>
          <w:szCs w:val="68"/>
          <w:lang w:val="en-GB"/>
        </w:rPr>
      </w:pPr>
      <w:r w:rsidRPr="00EF3740">
        <w:rPr>
          <w:b/>
          <w:bCs/>
          <w:sz w:val="68"/>
          <w:szCs w:val="68"/>
          <w:lang w:val="en-GB"/>
        </w:rPr>
        <w:t>VICTUALLING ONBOARD</w:t>
      </w:r>
    </w:p>
    <w:p w14:paraId="6B4B2A4B" w14:textId="0C7ADA65" w:rsidR="00B64D14" w:rsidRPr="00005A56" w:rsidRDefault="00B64D14" w:rsidP="00B64D14">
      <w:pPr>
        <w:pStyle w:val="Title"/>
        <w:jc w:val="both"/>
        <w:rPr>
          <w:sz w:val="32"/>
          <w:szCs w:val="32"/>
          <w:lang w:val="en-GB"/>
        </w:rPr>
      </w:pPr>
      <w:r w:rsidRPr="00565F0C">
        <w:rPr>
          <w:b/>
          <w:bCs/>
          <w:sz w:val="32"/>
          <w:szCs w:val="32"/>
          <w:lang w:val="en-GB"/>
        </w:rPr>
        <w:t>(Supply Chain Management and the Victualling Services Onboard)</w:t>
      </w:r>
    </w:p>
    <w:p w14:paraId="3B332A4F" w14:textId="77777777" w:rsidR="00B64D14" w:rsidRDefault="00B64D14" w:rsidP="00B64D14">
      <w:pPr>
        <w:rPr>
          <w:lang w:val="en-GB"/>
        </w:rPr>
      </w:pPr>
    </w:p>
    <w:p w14:paraId="01389780" w14:textId="77777777" w:rsidR="00B64D14" w:rsidRDefault="00B64D14" w:rsidP="00B64D14">
      <w:pPr>
        <w:rPr>
          <w:lang w:val="en-GB"/>
        </w:rPr>
      </w:pPr>
    </w:p>
    <w:p w14:paraId="18A90264" w14:textId="77777777" w:rsidR="00B64D14" w:rsidRDefault="00B64D14" w:rsidP="00B64D14">
      <w:pPr>
        <w:rPr>
          <w:lang w:val="en-GB"/>
        </w:rPr>
      </w:pPr>
    </w:p>
    <w:p w14:paraId="32D0C4F5" w14:textId="77777777" w:rsidR="00B64D14" w:rsidRDefault="00B64D14" w:rsidP="00B64D14">
      <w:pPr>
        <w:rPr>
          <w:lang w:val="en-GB"/>
        </w:rPr>
      </w:pPr>
    </w:p>
    <w:p w14:paraId="15CB5695" w14:textId="77777777" w:rsidR="00B64D14" w:rsidRDefault="00B64D14" w:rsidP="00B64D14">
      <w:pPr>
        <w:rPr>
          <w:lang w:val="en-GB"/>
        </w:rPr>
      </w:pPr>
    </w:p>
    <w:p w14:paraId="0E5FA4BE" w14:textId="77777777" w:rsidR="00B64D14" w:rsidRDefault="00B64D14" w:rsidP="00B64D14">
      <w:pPr>
        <w:rPr>
          <w:lang w:val="en-GB"/>
        </w:rPr>
      </w:pPr>
    </w:p>
    <w:p w14:paraId="352AE103" w14:textId="77777777" w:rsidR="00B64D14" w:rsidRDefault="00B64D14" w:rsidP="00B64D14">
      <w:pPr>
        <w:rPr>
          <w:lang w:val="en-GB"/>
        </w:rPr>
      </w:pPr>
    </w:p>
    <w:p w14:paraId="2C431616" w14:textId="77777777" w:rsidR="00B64D14" w:rsidRDefault="00B64D14" w:rsidP="00B64D14">
      <w:pPr>
        <w:rPr>
          <w:lang w:val="en-GB"/>
        </w:rPr>
      </w:pPr>
    </w:p>
    <w:p w14:paraId="03F19C68" w14:textId="77777777" w:rsidR="00B64D14" w:rsidRPr="00B64D14" w:rsidRDefault="00B64D14" w:rsidP="00B64D14">
      <w:pPr>
        <w:rPr>
          <w:lang w:val="en-GB"/>
        </w:rPr>
      </w:pPr>
    </w:p>
    <w:p w14:paraId="47DB0163" w14:textId="40F356E6"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E926F0">
        <w:rPr>
          <w:rFonts w:eastAsiaTheme="majorEastAsia"/>
          <w:b/>
          <w:bCs/>
          <w:color w:val="FF0000"/>
          <w:spacing w:val="-10"/>
          <w:kern w:val="28"/>
          <w:sz w:val="72"/>
          <w:szCs w:val="72"/>
          <w:lang w:val="en-GB"/>
        </w:rPr>
        <w:t>II</w:t>
      </w:r>
      <w:r w:rsidR="00984FFB">
        <w:rPr>
          <w:rFonts w:eastAsiaTheme="majorEastAsia"/>
          <w:b/>
          <w:bCs/>
          <w:color w:val="FF0000"/>
          <w:spacing w:val="-10"/>
          <w:kern w:val="28"/>
          <w:sz w:val="72"/>
          <w:szCs w:val="72"/>
          <w:lang w:val="en-GB"/>
        </w:rPr>
        <w:t>I</w:t>
      </w:r>
      <w:r w:rsidRPr="00F9119E">
        <w:rPr>
          <w:rFonts w:eastAsiaTheme="majorEastAsia"/>
          <w:b/>
          <w:bCs/>
          <w:color w:val="FF0000"/>
          <w:spacing w:val="-10"/>
          <w:kern w:val="28"/>
          <w:sz w:val="72"/>
          <w:szCs w:val="72"/>
          <w:lang w:val="en-GB"/>
        </w:rPr>
        <w:t xml:space="preserve"> </w:t>
      </w:r>
    </w:p>
    <w:p w14:paraId="0590C506" w14:textId="3300B60F" w:rsidR="00EB66D4" w:rsidRPr="0077276C" w:rsidRDefault="00984FFB" w:rsidP="00B64D14">
      <w:pPr>
        <w:jc w:val="center"/>
        <w:rPr>
          <w:lang w:val="en-GB"/>
        </w:rPr>
      </w:pPr>
      <w:r w:rsidRPr="00984FFB">
        <w:rPr>
          <w:rFonts w:eastAsiaTheme="majorEastAsia"/>
          <w:color w:val="1F497D" w:themeColor="text2"/>
          <w:spacing w:val="-10"/>
          <w:kern w:val="28"/>
          <w:sz w:val="72"/>
          <w:szCs w:val="72"/>
          <w:lang w:val="en-GB"/>
        </w:rPr>
        <w:t>C068 - Food and Catering (Ships' Crews) Convention</w:t>
      </w:r>
    </w:p>
    <w:p w14:paraId="33F27C1C" w14:textId="743061BC" w:rsidR="00774A87" w:rsidRPr="0077276C" w:rsidRDefault="00774A87" w:rsidP="00B64D14">
      <w:pPr>
        <w:pStyle w:val="Subtitle"/>
        <w:jc w:val="center"/>
        <w:rPr>
          <w:lang w:val="en-GB"/>
        </w:rPr>
      </w:pPr>
    </w:p>
    <w:p w14:paraId="2B647B41" w14:textId="108E4DC0" w:rsidR="00774A87" w:rsidRPr="0077276C" w:rsidRDefault="00774A87" w:rsidP="00B64D14">
      <w:pPr>
        <w:pStyle w:val="Subtitle"/>
        <w:jc w:val="center"/>
        <w:rPr>
          <w:lang w:val="en-GB"/>
        </w:rPr>
      </w:pPr>
    </w:p>
    <w:p w14:paraId="6EBBC079" w14:textId="77777777" w:rsidR="00312E7D" w:rsidRPr="0077276C" w:rsidRDefault="00312E7D" w:rsidP="00B64D14">
      <w:pPr>
        <w:jc w:val="cente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322D9F2C" w14:textId="77777777" w:rsidR="00E926F0" w:rsidRDefault="00E926F0" w:rsidP="00E5336F">
      <w:pPr>
        <w:pStyle w:val="Figuresstyle"/>
        <w:rPr>
          <w:lang w:val="en-GB"/>
        </w:rPr>
      </w:pPr>
    </w:p>
    <w:p w14:paraId="05E47A9C" w14:textId="77777777" w:rsidR="00E926F0" w:rsidRDefault="00E926F0" w:rsidP="00E5336F">
      <w:pPr>
        <w:pStyle w:val="Figuresstyle"/>
        <w:rPr>
          <w:lang w:val="en-GB"/>
        </w:rPr>
      </w:pPr>
    </w:p>
    <w:p w14:paraId="255F5FB4" w14:textId="77777777" w:rsidR="00E926F0" w:rsidRDefault="00E926F0" w:rsidP="00E5336F">
      <w:pPr>
        <w:pStyle w:val="Figuresstyle"/>
        <w:rPr>
          <w:lang w:val="en-GB"/>
        </w:rPr>
      </w:pPr>
    </w:p>
    <w:p w14:paraId="2A8ED754" w14:textId="29405DE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17F4F647" w14:textId="1BA7029B" w:rsidR="006E0448" w:rsidRDefault="00ED657C">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199185695" w:history="1">
            <w:r w:rsidR="006E0448" w:rsidRPr="00C973F8">
              <w:rPr>
                <w:rStyle w:val="Hyperlink"/>
                <w:rFonts w:asciiTheme="majorBidi" w:eastAsia="Times New Roman" w:hAnsiTheme="majorBidi" w:cstheme="majorBidi"/>
                <w:b/>
                <w:bCs/>
                <w:noProof/>
                <w:snapToGrid w:val="0"/>
                <w:lang w:val="en-GB" w:eastAsia="de-DE" w:bidi="en-US"/>
              </w:rPr>
              <w:t>I.</w:t>
            </w:r>
            <w:r w:rsidR="006E0448">
              <w:rPr>
                <w:rFonts w:asciiTheme="minorHAnsi" w:eastAsiaTheme="minorEastAsia" w:hAnsiTheme="minorHAnsi" w:cstheme="minorBidi"/>
                <w:noProof/>
                <w:kern w:val="2"/>
                <w:sz w:val="24"/>
                <w:szCs w:val="24"/>
                <w:lang w:val="bg-BG" w:eastAsia="bg-BG"/>
                <w14:ligatures w14:val="standardContextual"/>
              </w:rPr>
              <w:tab/>
            </w:r>
            <w:r w:rsidR="006E0448" w:rsidRPr="00C973F8">
              <w:rPr>
                <w:rStyle w:val="Hyperlink"/>
                <w:rFonts w:asciiTheme="majorBidi" w:eastAsia="Times New Roman" w:hAnsiTheme="majorBidi" w:cstheme="majorBidi"/>
                <w:b/>
                <w:bCs/>
                <w:noProof/>
                <w:snapToGrid w:val="0"/>
                <w:lang w:val="en-GB" w:eastAsia="de-DE" w:bidi="en-US"/>
              </w:rPr>
              <w:t>Case Study 1: "</w:t>
            </w:r>
            <w:r w:rsidR="00984FFB">
              <w:rPr>
                <w:rStyle w:val="Hyperlink"/>
                <w:rFonts w:asciiTheme="majorBidi" w:eastAsia="Times New Roman" w:hAnsiTheme="majorBidi" w:cstheme="majorBidi"/>
                <w:b/>
                <w:bCs/>
                <w:noProof/>
                <w:snapToGrid w:val="0"/>
                <w:lang w:val="en-GB" w:eastAsia="de-DE" w:bidi="en-US"/>
              </w:rPr>
              <w:t>C063 Food and Catering Convention</w:t>
            </w:r>
            <w:r w:rsidR="006E0448" w:rsidRPr="00C973F8">
              <w:rPr>
                <w:rStyle w:val="Hyperlink"/>
                <w:rFonts w:asciiTheme="majorBidi" w:eastAsia="Times New Roman" w:hAnsiTheme="majorBidi" w:cstheme="majorBidi"/>
                <w:b/>
                <w:bCs/>
                <w:noProof/>
                <w:snapToGrid w:val="0"/>
                <w:lang w:val="en-GB" w:eastAsia="de-DE" w:bidi="en-US"/>
              </w:rPr>
              <w:t>"</w:t>
            </w:r>
            <w:r w:rsidR="006E0448">
              <w:rPr>
                <w:noProof/>
                <w:webHidden/>
              </w:rPr>
              <w:tab/>
            </w:r>
            <w:r w:rsidR="006E0448">
              <w:rPr>
                <w:noProof/>
                <w:webHidden/>
              </w:rPr>
              <w:fldChar w:fldCharType="begin"/>
            </w:r>
            <w:r w:rsidR="006E0448">
              <w:rPr>
                <w:noProof/>
                <w:webHidden/>
              </w:rPr>
              <w:instrText xml:space="preserve"> PAGEREF _Toc199185695 \h </w:instrText>
            </w:r>
            <w:r w:rsidR="006E0448">
              <w:rPr>
                <w:noProof/>
                <w:webHidden/>
              </w:rPr>
            </w:r>
            <w:r w:rsidR="006E0448">
              <w:rPr>
                <w:noProof/>
                <w:webHidden/>
              </w:rPr>
              <w:fldChar w:fldCharType="separate"/>
            </w:r>
            <w:r w:rsidR="00924583">
              <w:rPr>
                <w:noProof/>
                <w:webHidden/>
              </w:rPr>
              <w:t>4</w:t>
            </w:r>
            <w:r w:rsidR="006E0448">
              <w:rPr>
                <w:noProof/>
                <w:webHidden/>
              </w:rPr>
              <w:fldChar w:fldCharType="end"/>
            </w:r>
          </w:hyperlink>
        </w:p>
        <w:p w14:paraId="2B98AD8D" w14:textId="2C04732B"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6" w:history="1">
            <w:r w:rsidRPr="00C973F8">
              <w:rPr>
                <w:rStyle w:val="Hyperlink"/>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_Toc199185696 \h </w:instrText>
            </w:r>
            <w:r>
              <w:rPr>
                <w:noProof/>
                <w:webHidden/>
              </w:rPr>
            </w:r>
            <w:r>
              <w:rPr>
                <w:noProof/>
                <w:webHidden/>
              </w:rPr>
              <w:fldChar w:fldCharType="separate"/>
            </w:r>
            <w:r w:rsidR="00924583">
              <w:rPr>
                <w:noProof/>
                <w:webHidden/>
              </w:rPr>
              <w:t>4</w:t>
            </w:r>
            <w:r>
              <w:rPr>
                <w:noProof/>
                <w:webHidden/>
              </w:rPr>
              <w:fldChar w:fldCharType="end"/>
            </w:r>
          </w:hyperlink>
        </w:p>
        <w:p w14:paraId="1B46D710" w14:textId="726BD8C3"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7" w:history="1">
            <w:r w:rsidRPr="00C973F8">
              <w:rPr>
                <w:rStyle w:val="Hyperlink"/>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Objective</w:t>
            </w:r>
            <w:r>
              <w:rPr>
                <w:noProof/>
                <w:webHidden/>
              </w:rPr>
              <w:tab/>
            </w:r>
            <w:r>
              <w:rPr>
                <w:noProof/>
                <w:webHidden/>
              </w:rPr>
              <w:fldChar w:fldCharType="begin"/>
            </w:r>
            <w:r>
              <w:rPr>
                <w:noProof/>
                <w:webHidden/>
              </w:rPr>
              <w:instrText xml:space="preserve"> PAGEREF _Toc199185697 \h </w:instrText>
            </w:r>
            <w:r>
              <w:rPr>
                <w:noProof/>
                <w:webHidden/>
              </w:rPr>
            </w:r>
            <w:r>
              <w:rPr>
                <w:noProof/>
                <w:webHidden/>
              </w:rPr>
              <w:fldChar w:fldCharType="separate"/>
            </w:r>
            <w:r w:rsidR="00924583">
              <w:rPr>
                <w:noProof/>
                <w:webHidden/>
              </w:rPr>
              <w:t>4</w:t>
            </w:r>
            <w:r>
              <w:rPr>
                <w:noProof/>
                <w:webHidden/>
              </w:rPr>
              <w:fldChar w:fldCharType="end"/>
            </w:r>
          </w:hyperlink>
        </w:p>
        <w:p w14:paraId="07B53651" w14:textId="59E051AD"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8" w:history="1">
            <w:r w:rsidRPr="00C973F8">
              <w:rPr>
                <w:rStyle w:val="Hyperlink"/>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Methods</w:t>
            </w:r>
            <w:r>
              <w:rPr>
                <w:noProof/>
                <w:webHidden/>
              </w:rPr>
              <w:tab/>
            </w:r>
            <w:r>
              <w:rPr>
                <w:noProof/>
                <w:webHidden/>
              </w:rPr>
              <w:fldChar w:fldCharType="begin"/>
            </w:r>
            <w:r>
              <w:rPr>
                <w:noProof/>
                <w:webHidden/>
              </w:rPr>
              <w:instrText xml:space="preserve"> PAGEREF _Toc199185698 \h </w:instrText>
            </w:r>
            <w:r>
              <w:rPr>
                <w:noProof/>
                <w:webHidden/>
              </w:rPr>
            </w:r>
            <w:r>
              <w:rPr>
                <w:noProof/>
                <w:webHidden/>
              </w:rPr>
              <w:fldChar w:fldCharType="separate"/>
            </w:r>
            <w:r w:rsidR="00924583">
              <w:rPr>
                <w:noProof/>
                <w:webHidden/>
              </w:rPr>
              <w:t>4</w:t>
            </w:r>
            <w:r>
              <w:rPr>
                <w:noProof/>
                <w:webHidden/>
              </w:rPr>
              <w:fldChar w:fldCharType="end"/>
            </w:r>
          </w:hyperlink>
        </w:p>
        <w:p w14:paraId="4DF16910" w14:textId="550C5E6E"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699" w:history="1">
            <w:r w:rsidRPr="00C973F8">
              <w:rPr>
                <w:rStyle w:val="Hyperlink"/>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_Toc199185699 \h </w:instrText>
            </w:r>
            <w:r>
              <w:rPr>
                <w:noProof/>
                <w:webHidden/>
              </w:rPr>
            </w:r>
            <w:r>
              <w:rPr>
                <w:noProof/>
                <w:webHidden/>
              </w:rPr>
              <w:fldChar w:fldCharType="separate"/>
            </w:r>
            <w:r w:rsidR="00924583">
              <w:rPr>
                <w:noProof/>
                <w:webHidden/>
              </w:rPr>
              <w:t>4</w:t>
            </w:r>
            <w:r>
              <w:rPr>
                <w:noProof/>
                <w:webHidden/>
              </w:rPr>
              <w:fldChar w:fldCharType="end"/>
            </w:r>
          </w:hyperlink>
        </w:p>
        <w:p w14:paraId="41586806" w14:textId="5887A4E9"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0" w:history="1">
            <w:r w:rsidRPr="00C973F8">
              <w:rPr>
                <w:rStyle w:val="Hyperlink"/>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_Toc199185700 \h </w:instrText>
            </w:r>
            <w:r>
              <w:rPr>
                <w:noProof/>
                <w:webHidden/>
              </w:rPr>
            </w:r>
            <w:r>
              <w:rPr>
                <w:noProof/>
                <w:webHidden/>
              </w:rPr>
              <w:fldChar w:fldCharType="separate"/>
            </w:r>
            <w:r w:rsidR="00924583">
              <w:rPr>
                <w:noProof/>
                <w:webHidden/>
              </w:rPr>
              <w:t>4</w:t>
            </w:r>
            <w:r>
              <w:rPr>
                <w:noProof/>
                <w:webHidden/>
              </w:rPr>
              <w:fldChar w:fldCharType="end"/>
            </w:r>
          </w:hyperlink>
        </w:p>
        <w:p w14:paraId="779B8684" w14:textId="19894C28" w:rsidR="006E0448" w:rsidRDefault="006E0448">
          <w:pPr>
            <w:pStyle w:val="TOC2"/>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185701" w:history="1">
            <w:r w:rsidRPr="00C973F8">
              <w:rPr>
                <w:rStyle w:val="Hyperlink"/>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C973F8">
              <w:rPr>
                <w:rStyle w:val="Hyperlink"/>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_Toc199185701 \h </w:instrText>
            </w:r>
            <w:r>
              <w:rPr>
                <w:noProof/>
                <w:webHidden/>
              </w:rPr>
            </w:r>
            <w:r>
              <w:rPr>
                <w:noProof/>
                <w:webHidden/>
              </w:rPr>
              <w:fldChar w:fldCharType="separate"/>
            </w:r>
            <w:r w:rsidR="00924583">
              <w:rPr>
                <w:noProof/>
                <w:webHidden/>
              </w:rPr>
              <w:t>4</w:t>
            </w:r>
            <w:r>
              <w:rPr>
                <w:noProof/>
                <w:webHidden/>
              </w:rPr>
              <w:fldChar w:fldCharType="end"/>
            </w:r>
          </w:hyperlink>
        </w:p>
        <w:p w14:paraId="484B2576" w14:textId="2FBD1775"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32F5515C"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Case Stud</w:t>
      </w:r>
      <w:r w:rsidR="0050449B">
        <w:rPr>
          <w:rFonts w:asciiTheme="majorBidi" w:eastAsia="Times New Roman" w:hAnsiTheme="majorBidi" w:cstheme="majorBidi"/>
          <w:b/>
          <w:i/>
          <w:iCs/>
          <w:noProof/>
          <w:snapToGrid w:val="0"/>
          <w:color w:val="17365D" w:themeColor="text2" w:themeShade="BF"/>
          <w:sz w:val="36"/>
          <w:lang w:val="en-GB" w:eastAsia="de-DE" w:bidi="en-US"/>
        </w:rPr>
        <w:t>Y</w:t>
      </w:r>
      <w:r w:rsidRPr="0077276C">
        <w:rPr>
          <w:rFonts w:asciiTheme="majorBidi" w:eastAsia="Times New Roman" w:hAnsiTheme="majorBidi" w:cstheme="majorBidi"/>
          <w:b/>
          <w:i/>
          <w:iCs/>
          <w:noProof/>
          <w:snapToGrid w:val="0"/>
          <w:color w:val="17365D" w:themeColor="text2" w:themeShade="BF"/>
          <w:sz w:val="36"/>
          <w:lang w:val="en-GB" w:eastAsia="de-DE" w:bidi="en-US"/>
        </w:rPr>
        <w:t xml:space="preserve"> For Training Modules </w:t>
      </w:r>
    </w:p>
    <w:p w14:paraId="04A664A3" w14:textId="74BBFEE4"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Case Study: "C063 Food and Catering Convention"</w:t>
      </w:r>
    </w:p>
    <w:p w14:paraId="7E6F86D2"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a. Background:</w:t>
      </w:r>
    </w:p>
    <w:p w14:paraId="17941CAE"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 xml:space="preserve">The C063 Food and Catering Convention, adopted by the International </w:t>
      </w:r>
      <w:proofErr w:type="spellStart"/>
      <w:r w:rsidRPr="00984FFB">
        <w:rPr>
          <w:rFonts w:eastAsia="Times New Roman"/>
          <w:b/>
          <w:bCs/>
        </w:rPr>
        <w:t>Labour</w:t>
      </w:r>
      <w:proofErr w:type="spellEnd"/>
      <w:r w:rsidRPr="00984FFB">
        <w:rPr>
          <w:rFonts w:eastAsia="Times New Roman"/>
          <w:b/>
          <w:bCs/>
        </w:rPr>
        <w:t xml:space="preserve"> Organization (ILO) in 1961, focuses on the standards for food quality, hygiene, and catering services provided to seafarers on board ships. The convention aims to ensure that all crew members receive adequate, nutritious meals in a safe and hygienic environment to protect their health and well-being during voyages. Despite its critical importance, the convention has faced challenges in implementation due to varying compliance levels among shipowners, operational constraints, and differing national regulations. This case study examines how a mid-sized shipping company, Oceanic Maritime Ltd., applied the C063 Convention to improve catering standards across its fleet.</w:t>
      </w:r>
    </w:p>
    <w:p w14:paraId="281CF264"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b. Objective:</w:t>
      </w:r>
    </w:p>
    <w:p w14:paraId="798B9C20"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The primary objective of this case study is to evaluate the effectiveness of implementing the C063 Food and Catering Convention within Oceanic Maritime Ltd. Specifically, it aims to:</w:t>
      </w:r>
    </w:p>
    <w:p w14:paraId="7BF1617F" w14:textId="77777777" w:rsidR="00984FFB" w:rsidRPr="00984FFB" w:rsidRDefault="00984FFB" w:rsidP="00984FFB">
      <w:pPr>
        <w:widowControl/>
        <w:numPr>
          <w:ilvl w:val="0"/>
          <w:numId w:val="52"/>
        </w:numPr>
        <w:autoSpaceDE/>
        <w:autoSpaceDN/>
        <w:spacing w:after="100" w:afterAutospacing="1"/>
        <w:jc w:val="left"/>
        <w:rPr>
          <w:rFonts w:eastAsia="Times New Roman"/>
          <w:b/>
          <w:bCs/>
        </w:rPr>
      </w:pPr>
      <w:r w:rsidRPr="00984FFB">
        <w:rPr>
          <w:rFonts w:eastAsia="Times New Roman"/>
          <w:b/>
          <w:bCs/>
        </w:rPr>
        <w:t>Assess improvements in crew nutrition and health outcomes following adoption.</w:t>
      </w:r>
    </w:p>
    <w:p w14:paraId="7636384C" w14:textId="77777777" w:rsidR="00984FFB" w:rsidRPr="00984FFB" w:rsidRDefault="00984FFB" w:rsidP="00984FFB">
      <w:pPr>
        <w:widowControl/>
        <w:numPr>
          <w:ilvl w:val="0"/>
          <w:numId w:val="52"/>
        </w:numPr>
        <w:autoSpaceDE/>
        <w:autoSpaceDN/>
        <w:spacing w:after="100" w:afterAutospacing="1"/>
        <w:jc w:val="left"/>
        <w:rPr>
          <w:rFonts w:eastAsia="Times New Roman"/>
          <w:b/>
          <w:bCs/>
        </w:rPr>
      </w:pPr>
      <w:r w:rsidRPr="00984FFB">
        <w:rPr>
          <w:rFonts w:eastAsia="Times New Roman"/>
          <w:b/>
          <w:bCs/>
        </w:rPr>
        <w:t>Analyze changes in catering hygiene and food safety procedures.</w:t>
      </w:r>
    </w:p>
    <w:p w14:paraId="191AC2DC" w14:textId="77777777" w:rsidR="00984FFB" w:rsidRPr="00984FFB" w:rsidRDefault="00984FFB" w:rsidP="00984FFB">
      <w:pPr>
        <w:widowControl/>
        <w:numPr>
          <w:ilvl w:val="0"/>
          <w:numId w:val="52"/>
        </w:numPr>
        <w:autoSpaceDE/>
        <w:autoSpaceDN/>
        <w:spacing w:after="100" w:afterAutospacing="1"/>
        <w:jc w:val="left"/>
        <w:rPr>
          <w:rFonts w:eastAsia="Times New Roman"/>
          <w:b/>
          <w:bCs/>
        </w:rPr>
      </w:pPr>
      <w:r w:rsidRPr="00984FFB">
        <w:rPr>
          <w:rFonts w:eastAsia="Times New Roman"/>
          <w:b/>
          <w:bCs/>
        </w:rPr>
        <w:t>Identify operational challenges faced during the implementation process.</w:t>
      </w:r>
    </w:p>
    <w:p w14:paraId="32B22027" w14:textId="77777777" w:rsidR="00984FFB" w:rsidRPr="00984FFB" w:rsidRDefault="00984FFB" w:rsidP="00984FFB">
      <w:pPr>
        <w:widowControl/>
        <w:numPr>
          <w:ilvl w:val="0"/>
          <w:numId w:val="52"/>
        </w:numPr>
        <w:autoSpaceDE/>
        <w:autoSpaceDN/>
        <w:spacing w:after="100" w:afterAutospacing="1"/>
        <w:jc w:val="left"/>
        <w:rPr>
          <w:rFonts w:eastAsia="Times New Roman"/>
          <w:b/>
          <w:bCs/>
        </w:rPr>
      </w:pPr>
      <w:r w:rsidRPr="00984FFB">
        <w:rPr>
          <w:rFonts w:eastAsia="Times New Roman"/>
          <w:b/>
          <w:bCs/>
        </w:rPr>
        <w:t>Determine the impact on crew morale and overall ship performance.</w:t>
      </w:r>
    </w:p>
    <w:p w14:paraId="768854C7"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c. Methods:</w:t>
      </w:r>
    </w:p>
    <w:p w14:paraId="6729439C"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Oceanic Maritime Ltd. initiated a six-month pilot program across three vessels in its fleet. The following methods were employed:</w:t>
      </w:r>
    </w:p>
    <w:p w14:paraId="3513B879" w14:textId="77777777" w:rsidR="00984FFB" w:rsidRPr="00984FFB" w:rsidRDefault="00984FFB" w:rsidP="00984FFB">
      <w:pPr>
        <w:widowControl/>
        <w:numPr>
          <w:ilvl w:val="0"/>
          <w:numId w:val="53"/>
        </w:numPr>
        <w:autoSpaceDE/>
        <w:autoSpaceDN/>
        <w:spacing w:after="100" w:afterAutospacing="1"/>
        <w:jc w:val="left"/>
        <w:rPr>
          <w:rFonts w:eastAsia="Times New Roman"/>
          <w:b/>
          <w:bCs/>
        </w:rPr>
      </w:pPr>
      <w:r w:rsidRPr="00984FFB">
        <w:rPr>
          <w:rFonts w:eastAsia="Times New Roman"/>
          <w:b/>
          <w:bCs/>
        </w:rPr>
        <w:t>Baseline Assessment: A comprehensive review of existing catering facilities, food quality, hygiene practices, and crew satisfaction was conducted through inspections and surveys.</w:t>
      </w:r>
    </w:p>
    <w:p w14:paraId="5098DD03" w14:textId="77777777" w:rsidR="00984FFB" w:rsidRPr="00984FFB" w:rsidRDefault="00984FFB" w:rsidP="00984FFB">
      <w:pPr>
        <w:widowControl/>
        <w:numPr>
          <w:ilvl w:val="0"/>
          <w:numId w:val="53"/>
        </w:numPr>
        <w:autoSpaceDE/>
        <w:autoSpaceDN/>
        <w:spacing w:after="100" w:afterAutospacing="1"/>
        <w:jc w:val="left"/>
        <w:rPr>
          <w:rFonts w:eastAsia="Times New Roman"/>
          <w:b/>
          <w:bCs/>
        </w:rPr>
      </w:pPr>
      <w:r w:rsidRPr="00984FFB">
        <w:rPr>
          <w:rFonts w:eastAsia="Times New Roman"/>
          <w:b/>
          <w:bCs/>
        </w:rPr>
        <w:t>Training: Catering staff received specialized training on food safety, nutrition, and compliance with C063 provisions.</w:t>
      </w:r>
    </w:p>
    <w:p w14:paraId="13639AE1" w14:textId="77777777" w:rsidR="00984FFB" w:rsidRPr="00984FFB" w:rsidRDefault="00984FFB" w:rsidP="00984FFB">
      <w:pPr>
        <w:widowControl/>
        <w:numPr>
          <w:ilvl w:val="0"/>
          <w:numId w:val="53"/>
        </w:numPr>
        <w:autoSpaceDE/>
        <w:autoSpaceDN/>
        <w:spacing w:after="100" w:afterAutospacing="1"/>
        <w:jc w:val="left"/>
        <w:rPr>
          <w:rFonts w:eastAsia="Times New Roman"/>
          <w:b/>
          <w:bCs/>
        </w:rPr>
      </w:pPr>
      <w:r w:rsidRPr="00984FFB">
        <w:rPr>
          <w:rFonts w:eastAsia="Times New Roman"/>
          <w:b/>
          <w:bCs/>
        </w:rPr>
        <w:t>Facility Upgrades: Kitchens and storage areas were retrofitted with improved equipment to meet convention standards.</w:t>
      </w:r>
    </w:p>
    <w:p w14:paraId="6F395498" w14:textId="77777777" w:rsidR="00984FFB" w:rsidRPr="00984FFB" w:rsidRDefault="00984FFB" w:rsidP="00984FFB">
      <w:pPr>
        <w:widowControl/>
        <w:numPr>
          <w:ilvl w:val="0"/>
          <w:numId w:val="53"/>
        </w:numPr>
        <w:autoSpaceDE/>
        <w:autoSpaceDN/>
        <w:spacing w:after="100" w:afterAutospacing="1"/>
        <w:jc w:val="left"/>
        <w:rPr>
          <w:rFonts w:eastAsia="Times New Roman"/>
          <w:b/>
          <w:bCs/>
        </w:rPr>
      </w:pPr>
      <w:r w:rsidRPr="00984FFB">
        <w:rPr>
          <w:rFonts w:eastAsia="Times New Roman"/>
          <w:b/>
          <w:bCs/>
        </w:rPr>
        <w:t>Monitoring and Documentation: Regular inspections and food supply record-keeping were implemented to ensure ongoing compliance.</w:t>
      </w:r>
    </w:p>
    <w:p w14:paraId="056F4787" w14:textId="77777777" w:rsidR="00984FFB" w:rsidRPr="00984FFB" w:rsidRDefault="00984FFB" w:rsidP="00984FFB">
      <w:pPr>
        <w:widowControl/>
        <w:numPr>
          <w:ilvl w:val="0"/>
          <w:numId w:val="53"/>
        </w:numPr>
        <w:autoSpaceDE/>
        <w:autoSpaceDN/>
        <w:spacing w:after="100" w:afterAutospacing="1"/>
        <w:jc w:val="left"/>
        <w:rPr>
          <w:rFonts w:eastAsia="Times New Roman"/>
          <w:b/>
          <w:bCs/>
        </w:rPr>
      </w:pPr>
      <w:r w:rsidRPr="00984FFB">
        <w:rPr>
          <w:rFonts w:eastAsia="Times New Roman"/>
          <w:b/>
          <w:bCs/>
        </w:rPr>
        <w:t>Crew Feedback: Periodic questionnaires and interviews assessed crew satisfaction with meal quality, variety, and hygiene.</w:t>
      </w:r>
    </w:p>
    <w:p w14:paraId="1917C6B5" w14:textId="77777777" w:rsidR="00984FFB" w:rsidRPr="00984FFB" w:rsidRDefault="00984FFB" w:rsidP="00984FFB">
      <w:pPr>
        <w:widowControl/>
        <w:numPr>
          <w:ilvl w:val="0"/>
          <w:numId w:val="53"/>
        </w:numPr>
        <w:autoSpaceDE/>
        <w:autoSpaceDN/>
        <w:spacing w:after="100" w:afterAutospacing="1"/>
        <w:jc w:val="left"/>
        <w:rPr>
          <w:rFonts w:eastAsia="Times New Roman"/>
          <w:b/>
          <w:bCs/>
        </w:rPr>
      </w:pPr>
      <w:r w:rsidRPr="00984FFB">
        <w:rPr>
          <w:rFonts w:eastAsia="Times New Roman"/>
          <w:b/>
          <w:bCs/>
        </w:rPr>
        <w:t>Health Tracking: Medical records were monitored for incidences of food-related illnesses and nutritional deficiencies.</w:t>
      </w:r>
    </w:p>
    <w:p w14:paraId="402EDE3A"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d. Expected Results:</w:t>
      </w:r>
    </w:p>
    <w:p w14:paraId="6110340E"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The expected outcomes of the pilot program included:</w:t>
      </w:r>
    </w:p>
    <w:p w14:paraId="45A9E6E2" w14:textId="77777777" w:rsidR="00984FFB" w:rsidRPr="00984FFB" w:rsidRDefault="00984FFB" w:rsidP="00984FFB">
      <w:pPr>
        <w:widowControl/>
        <w:numPr>
          <w:ilvl w:val="0"/>
          <w:numId w:val="54"/>
        </w:numPr>
        <w:autoSpaceDE/>
        <w:autoSpaceDN/>
        <w:spacing w:after="100" w:afterAutospacing="1"/>
        <w:jc w:val="left"/>
        <w:rPr>
          <w:rFonts w:eastAsia="Times New Roman"/>
          <w:b/>
          <w:bCs/>
        </w:rPr>
      </w:pPr>
      <w:r w:rsidRPr="00984FFB">
        <w:rPr>
          <w:rFonts w:eastAsia="Times New Roman"/>
          <w:b/>
          <w:bCs/>
        </w:rPr>
        <w:t>Enhanced nutritional quality of meals, leading to improved crew health indicators.</w:t>
      </w:r>
    </w:p>
    <w:p w14:paraId="220B583A" w14:textId="77777777" w:rsidR="00984FFB" w:rsidRPr="00984FFB" w:rsidRDefault="00984FFB" w:rsidP="00984FFB">
      <w:pPr>
        <w:widowControl/>
        <w:numPr>
          <w:ilvl w:val="0"/>
          <w:numId w:val="54"/>
        </w:numPr>
        <w:autoSpaceDE/>
        <w:autoSpaceDN/>
        <w:spacing w:after="100" w:afterAutospacing="1"/>
        <w:jc w:val="left"/>
        <w:rPr>
          <w:rFonts w:eastAsia="Times New Roman"/>
          <w:b/>
          <w:bCs/>
        </w:rPr>
      </w:pPr>
      <w:r w:rsidRPr="00984FFB">
        <w:rPr>
          <w:rFonts w:eastAsia="Times New Roman"/>
          <w:b/>
          <w:bCs/>
        </w:rPr>
        <w:t>Reduction in foodborne illnesses and hygiene-related complaints.</w:t>
      </w:r>
    </w:p>
    <w:p w14:paraId="284460AB" w14:textId="77777777" w:rsidR="00984FFB" w:rsidRPr="00984FFB" w:rsidRDefault="00984FFB" w:rsidP="00984FFB">
      <w:pPr>
        <w:widowControl/>
        <w:numPr>
          <w:ilvl w:val="0"/>
          <w:numId w:val="54"/>
        </w:numPr>
        <w:autoSpaceDE/>
        <w:autoSpaceDN/>
        <w:spacing w:after="100" w:afterAutospacing="1"/>
        <w:jc w:val="left"/>
        <w:rPr>
          <w:rFonts w:eastAsia="Times New Roman"/>
          <w:b/>
          <w:bCs/>
        </w:rPr>
      </w:pPr>
      <w:r w:rsidRPr="00984FFB">
        <w:rPr>
          <w:rFonts w:eastAsia="Times New Roman"/>
          <w:b/>
          <w:bCs/>
        </w:rPr>
        <w:t>Increased crew morale and satisfaction with catering services.</w:t>
      </w:r>
    </w:p>
    <w:p w14:paraId="623D516B" w14:textId="77777777" w:rsidR="00984FFB" w:rsidRPr="00984FFB" w:rsidRDefault="00984FFB" w:rsidP="00984FFB">
      <w:pPr>
        <w:widowControl/>
        <w:numPr>
          <w:ilvl w:val="0"/>
          <w:numId w:val="54"/>
        </w:numPr>
        <w:autoSpaceDE/>
        <w:autoSpaceDN/>
        <w:spacing w:after="100" w:afterAutospacing="1"/>
        <w:jc w:val="left"/>
        <w:rPr>
          <w:rFonts w:eastAsia="Times New Roman"/>
          <w:b/>
          <w:bCs/>
        </w:rPr>
      </w:pPr>
      <w:r w:rsidRPr="00984FFB">
        <w:rPr>
          <w:rFonts w:eastAsia="Times New Roman"/>
          <w:b/>
          <w:bCs/>
        </w:rPr>
        <w:t>Identification of practical challenges and resource needs for full fleet-wide implementation.</w:t>
      </w:r>
    </w:p>
    <w:p w14:paraId="656952C8" w14:textId="77777777" w:rsidR="00984FFB" w:rsidRDefault="00984FFB" w:rsidP="00984FFB">
      <w:pPr>
        <w:widowControl/>
        <w:numPr>
          <w:ilvl w:val="0"/>
          <w:numId w:val="54"/>
        </w:numPr>
        <w:autoSpaceDE/>
        <w:autoSpaceDN/>
        <w:spacing w:after="100" w:afterAutospacing="1"/>
        <w:jc w:val="left"/>
        <w:rPr>
          <w:rFonts w:eastAsia="Times New Roman"/>
          <w:b/>
          <w:bCs/>
        </w:rPr>
      </w:pPr>
      <w:r w:rsidRPr="00984FFB">
        <w:rPr>
          <w:rFonts w:eastAsia="Times New Roman"/>
          <w:b/>
          <w:bCs/>
        </w:rPr>
        <w:t>Development of a best practices model for ongoing compliance with C063.</w:t>
      </w:r>
    </w:p>
    <w:p w14:paraId="37A8C0E0" w14:textId="77777777" w:rsidR="00984FFB" w:rsidRDefault="00984FFB" w:rsidP="00984FFB">
      <w:pPr>
        <w:widowControl/>
        <w:autoSpaceDE/>
        <w:autoSpaceDN/>
        <w:spacing w:after="100" w:afterAutospacing="1"/>
        <w:jc w:val="left"/>
        <w:rPr>
          <w:rFonts w:eastAsia="Times New Roman"/>
          <w:b/>
          <w:bCs/>
        </w:rPr>
      </w:pPr>
    </w:p>
    <w:p w14:paraId="6965DF64" w14:textId="77777777" w:rsidR="00984FFB" w:rsidRPr="00984FFB" w:rsidRDefault="00984FFB" w:rsidP="00984FFB">
      <w:pPr>
        <w:widowControl/>
        <w:autoSpaceDE/>
        <w:autoSpaceDN/>
        <w:spacing w:after="100" w:afterAutospacing="1"/>
        <w:jc w:val="left"/>
        <w:rPr>
          <w:rFonts w:eastAsia="Times New Roman"/>
          <w:b/>
          <w:bCs/>
        </w:rPr>
      </w:pPr>
    </w:p>
    <w:p w14:paraId="1499A57D"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lastRenderedPageBreak/>
        <w:t>e. Discussion Questions:</w:t>
      </w:r>
    </w:p>
    <w:p w14:paraId="656E764A" w14:textId="77777777" w:rsidR="00984FFB" w:rsidRPr="00984FFB" w:rsidRDefault="00984FFB" w:rsidP="00984FFB">
      <w:pPr>
        <w:widowControl/>
        <w:numPr>
          <w:ilvl w:val="0"/>
          <w:numId w:val="55"/>
        </w:numPr>
        <w:autoSpaceDE/>
        <w:autoSpaceDN/>
        <w:spacing w:after="100" w:afterAutospacing="1"/>
        <w:jc w:val="left"/>
        <w:rPr>
          <w:rFonts w:eastAsia="Times New Roman"/>
          <w:b/>
          <w:bCs/>
        </w:rPr>
      </w:pPr>
      <w:r w:rsidRPr="00984FFB">
        <w:rPr>
          <w:rFonts w:eastAsia="Times New Roman"/>
          <w:b/>
          <w:bCs/>
        </w:rPr>
        <w:t>What were the main barriers Oceanic Maritime Ltd. faced in implementing the C063 Convention, and how were they addressed?</w:t>
      </w:r>
    </w:p>
    <w:p w14:paraId="59BCD278" w14:textId="77777777" w:rsidR="00984FFB" w:rsidRPr="00984FFB" w:rsidRDefault="00984FFB" w:rsidP="00984FFB">
      <w:pPr>
        <w:widowControl/>
        <w:numPr>
          <w:ilvl w:val="0"/>
          <w:numId w:val="55"/>
        </w:numPr>
        <w:autoSpaceDE/>
        <w:autoSpaceDN/>
        <w:spacing w:after="100" w:afterAutospacing="1"/>
        <w:jc w:val="left"/>
        <w:rPr>
          <w:rFonts w:eastAsia="Times New Roman"/>
          <w:b/>
          <w:bCs/>
        </w:rPr>
      </w:pPr>
      <w:r w:rsidRPr="00984FFB">
        <w:rPr>
          <w:rFonts w:eastAsia="Times New Roman"/>
          <w:b/>
          <w:bCs/>
        </w:rPr>
        <w:t>How did improved catering standards influence crew health and operational efficiency on the ships involved?</w:t>
      </w:r>
    </w:p>
    <w:p w14:paraId="3BE31A6A" w14:textId="77777777" w:rsidR="00984FFB" w:rsidRPr="00984FFB" w:rsidRDefault="00984FFB" w:rsidP="00984FFB">
      <w:pPr>
        <w:widowControl/>
        <w:numPr>
          <w:ilvl w:val="0"/>
          <w:numId w:val="55"/>
        </w:numPr>
        <w:autoSpaceDE/>
        <w:autoSpaceDN/>
        <w:spacing w:after="100" w:afterAutospacing="1"/>
        <w:jc w:val="left"/>
        <w:rPr>
          <w:rFonts w:eastAsia="Times New Roman"/>
          <w:b/>
          <w:bCs/>
        </w:rPr>
      </w:pPr>
      <w:r w:rsidRPr="00984FFB">
        <w:rPr>
          <w:rFonts w:eastAsia="Times New Roman"/>
          <w:b/>
          <w:bCs/>
        </w:rPr>
        <w:t>In what ways can ongoing training and facility upgrades contribute to sustaining compliance with international catering standards?</w:t>
      </w:r>
    </w:p>
    <w:p w14:paraId="12791FAA" w14:textId="77777777" w:rsidR="00984FFB" w:rsidRPr="00984FFB" w:rsidRDefault="00984FFB" w:rsidP="00984FFB">
      <w:pPr>
        <w:widowControl/>
        <w:numPr>
          <w:ilvl w:val="0"/>
          <w:numId w:val="55"/>
        </w:numPr>
        <w:autoSpaceDE/>
        <w:autoSpaceDN/>
        <w:spacing w:after="100" w:afterAutospacing="1"/>
        <w:jc w:val="left"/>
        <w:rPr>
          <w:rFonts w:eastAsia="Times New Roman"/>
          <w:b/>
          <w:bCs/>
        </w:rPr>
      </w:pPr>
      <w:r w:rsidRPr="00984FFB">
        <w:rPr>
          <w:rFonts w:eastAsia="Times New Roman"/>
          <w:b/>
          <w:bCs/>
        </w:rPr>
        <w:t>How might cultural and dietary diversity among crew members affect the implementation of the C063 Convention?</w:t>
      </w:r>
    </w:p>
    <w:p w14:paraId="4BC0775A" w14:textId="77777777" w:rsidR="00984FFB" w:rsidRPr="00984FFB" w:rsidRDefault="00984FFB" w:rsidP="00984FFB">
      <w:pPr>
        <w:widowControl/>
        <w:numPr>
          <w:ilvl w:val="0"/>
          <w:numId w:val="55"/>
        </w:numPr>
        <w:autoSpaceDE/>
        <w:autoSpaceDN/>
        <w:spacing w:after="100" w:afterAutospacing="1"/>
        <w:jc w:val="left"/>
        <w:rPr>
          <w:rFonts w:eastAsia="Times New Roman"/>
          <w:b/>
          <w:bCs/>
        </w:rPr>
      </w:pPr>
      <w:r w:rsidRPr="00984FFB">
        <w:rPr>
          <w:rFonts w:eastAsia="Times New Roman"/>
          <w:b/>
          <w:bCs/>
        </w:rPr>
        <w:t>What strategies could other shipping companies adopt based on the lessons learned from this case study?</w:t>
      </w:r>
    </w:p>
    <w:p w14:paraId="31AF932F"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f. Evaluation Criteria:</w:t>
      </w:r>
    </w:p>
    <w:p w14:paraId="37AE4399" w14:textId="77777777" w:rsidR="00984FFB" w:rsidRPr="00984FFB" w:rsidRDefault="00984FFB" w:rsidP="00984FFB">
      <w:pPr>
        <w:widowControl/>
        <w:autoSpaceDE/>
        <w:autoSpaceDN/>
        <w:spacing w:after="100" w:afterAutospacing="1"/>
        <w:ind w:firstLine="0"/>
        <w:jc w:val="left"/>
        <w:rPr>
          <w:rFonts w:eastAsia="Times New Roman"/>
          <w:b/>
          <w:bCs/>
        </w:rPr>
      </w:pPr>
      <w:r w:rsidRPr="00984FFB">
        <w:rPr>
          <w:rFonts w:eastAsia="Times New Roman"/>
          <w:b/>
          <w:bCs/>
        </w:rPr>
        <w:t>To assess the success of the pilot program, the following criteria were used:</w:t>
      </w:r>
    </w:p>
    <w:p w14:paraId="33641009" w14:textId="77777777" w:rsidR="00984FFB" w:rsidRPr="00984FFB" w:rsidRDefault="00984FFB" w:rsidP="00984FFB">
      <w:pPr>
        <w:widowControl/>
        <w:numPr>
          <w:ilvl w:val="0"/>
          <w:numId w:val="56"/>
        </w:numPr>
        <w:autoSpaceDE/>
        <w:autoSpaceDN/>
        <w:spacing w:after="100" w:afterAutospacing="1"/>
        <w:jc w:val="left"/>
        <w:rPr>
          <w:rFonts w:eastAsia="Times New Roman"/>
          <w:b/>
          <w:bCs/>
        </w:rPr>
      </w:pPr>
      <w:r w:rsidRPr="00984FFB">
        <w:rPr>
          <w:rFonts w:eastAsia="Times New Roman"/>
          <w:b/>
          <w:bCs/>
        </w:rPr>
        <w:t>Compliance Rate: Percentage of inspections showing adherence to C063 food quality and hygiene standards.</w:t>
      </w:r>
    </w:p>
    <w:p w14:paraId="20C7FFBD" w14:textId="77777777" w:rsidR="00984FFB" w:rsidRPr="00984FFB" w:rsidRDefault="00984FFB" w:rsidP="00984FFB">
      <w:pPr>
        <w:widowControl/>
        <w:numPr>
          <w:ilvl w:val="0"/>
          <w:numId w:val="56"/>
        </w:numPr>
        <w:autoSpaceDE/>
        <w:autoSpaceDN/>
        <w:spacing w:after="100" w:afterAutospacing="1"/>
        <w:jc w:val="left"/>
        <w:rPr>
          <w:rFonts w:eastAsia="Times New Roman"/>
          <w:b/>
          <w:bCs/>
        </w:rPr>
      </w:pPr>
      <w:r w:rsidRPr="00984FFB">
        <w:rPr>
          <w:rFonts w:eastAsia="Times New Roman"/>
          <w:b/>
          <w:bCs/>
        </w:rPr>
        <w:t>Crew Health Metrics: Changes in reported foodborne illnesses and nutritional deficiencies before and after implementation.</w:t>
      </w:r>
    </w:p>
    <w:p w14:paraId="33AAC0AA" w14:textId="77777777" w:rsidR="00984FFB" w:rsidRPr="00984FFB" w:rsidRDefault="00984FFB" w:rsidP="00984FFB">
      <w:pPr>
        <w:widowControl/>
        <w:numPr>
          <w:ilvl w:val="0"/>
          <w:numId w:val="56"/>
        </w:numPr>
        <w:autoSpaceDE/>
        <w:autoSpaceDN/>
        <w:spacing w:after="100" w:afterAutospacing="1"/>
        <w:jc w:val="left"/>
        <w:rPr>
          <w:rFonts w:eastAsia="Times New Roman"/>
          <w:b/>
          <w:bCs/>
        </w:rPr>
      </w:pPr>
      <w:r w:rsidRPr="00984FFB">
        <w:rPr>
          <w:rFonts w:eastAsia="Times New Roman"/>
          <w:b/>
          <w:bCs/>
        </w:rPr>
        <w:t>Crew Satisfaction Scores: Feedback from surveys measuring meal quality, variety, and overall satisfaction.</w:t>
      </w:r>
    </w:p>
    <w:p w14:paraId="38AE0CC7" w14:textId="77777777" w:rsidR="00984FFB" w:rsidRPr="00984FFB" w:rsidRDefault="00984FFB" w:rsidP="00984FFB">
      <w:pPr>
        <w:widowControl/>
        <w:numPr>
          <w:ilvl w:val="0"/>
          <w:numId w:val="56"/>
        </w:numPr>
        <w:autoSpaceDE/>
        <w:autoSpaceDN/>
        <w:spacing w:after="100" w:afterAutospacing="1"/>
        <w:jc w:val="left"/>
        <w:rPr>
          <w:rFonts w:eastAsia="Times New Roman"/>
          <w:b/>
          <w:bCs/>
        </w:rPr>
      </w:pPr>
      <w:r w:rsidRPr="00984FFB">
        <w:rPr>
          <w:rFonts w:eastAsia="Times New Roman"/>
          <w:b/>
          <w:bCs/>
        </w:rPr>
        <w:t>Operational Impact: Assessment of any changes in crew performance and incident rates linked to improved nutrition.</w:t>
      </w:r>
    </w:p>
    <w:p w14:paraId="082D1207" w14:textId="77777777" w:rsidR="00984FFB" w:rsidRPr="00984FFB" w:rsidRDefault="00984FFB" w:rsidP="00984FFB">
      <w:pPr>
        <w:widowControl/>
        <w:numPr>
          <w:ilvl w:val="0"/>
          <w:numId w:val="56"/>
        </w:numPr>
        <w:autoSpaceDE/>
        <w:autoSpaceDN/>
        <w:spacing w:after="100" w:afterAutospacing="1"/>
        <w:jc w:val="left"/>
        <w:rPr>
          <w:rFonts w:eastAsia="Times New Roman"/>
          <w:b/>
          <w:bCs/>
        </w:rPr>
      </w:pPr>
      <w:r w:rsidRPr="00984FFB">
        <w:rPr>
          <w:rFonts w:eastAsia="Times New Roman"/>
          <w:b/>
          <w:bCs/>
        </w:rPr>
        <w:t xml:space="preserve">Implementation Challenges: Documentation of obstacles </w:t>
      </w:r>
      <w:proofErr w:type="gramStart"/>
      <w:r w:rsidRPr="00984FFB">
        <w:rPr>
          <w:rFonts w:eastAsia="Times New Roman"/>
          <w:b/>
          <w:bCs/>
        </w:rPr>
        <w:t>faced</w:t>
      </w:r>
      <w:proofErr w:type="gramEnd"/>
      <w:r w:rsidRPr="00984FFB">
        <w:rPr>
          <w:rFonts w:eastAsia="Times New Roman"/>
          <w:b/>
          <w:bCs/>
        </w:rPr>
        <w:t xml:space="preserve"> and solutions applied during the pilot.</w:t>
      </w:r>
    </w:p>
    <w:p w14:paraId="441940F4" w14:textId="77777777" w:rsidR="00984FFB" w:rsidRPr="00984FFB" w:rsidRDefault="00984FFB" w:rsidP="00984FFB">
      <w:pPr>
        <w:widowControl/>
        <w:numPr>
          <w:ilvl w:val="0"/>
          <w:numId w:val="56"/>
        </w:numPr>
        <w:autoSpaceDE/>
        <w:autoSpaceDN/>
        <w:spacing w:after="100" w:afterAutospacing="1"/>
        <w:jc w:val="left"/>
        <w:rPr>
          <w:rFonts w:eastAsia="Times New Roman"/>
          <w:b/>
          <w:bCs/>
        </w:rPr>
      </w:pPr>
      <w:r w:rsidRPr="00984FFB">
        <w:rPr>
          <w:rFonts w:eastAsia="Times New Roman"/>
          <w:b/>
          <w:bCs/>
        </w:rPr>
        <w:t>Sustainability: Evidence of institutionalized practices and ongoing commitment to food and catering standards.</w:t>
      </w:r>
    </w:p>
    <w:p w14:paraId="124B1B45" w14:textId="77777777" w:rsidR="00EF3740" w:rsidRDefault="00EF3740" w:rsidP="002727A2">
      <w:pPr>
        <w:widowControl/>
        <w:autoSpaceDE/>
        <w:autoSpaceDN/>
        <w:spacing w:after="100" w:afterAutospacing="1"/>
        <w:ind w:firstLine="0"/>
        <w:jc w:val="left"/>
        <w:rPr>
          <w:rFonts w:eastAsia="Times New Roman"/>
          <w:b/>
          <w:bCs/>
        </w:rPr>
      </w:pPr>
    </w:p>
    <w:p w14:paraId="6F5F0399" w14:textId="77777777" w:rsidR="00984FFB" w:rsidRPr="00D130FE" w:rsidRDefault="00984FFB" w:rsidP="002727A2">
      <w:pPr>
        <w:widowControl/>
        <w:autoSpaceDE/>
        <w:autoSpaceDN/>
        <w:spacing w:after="100" w:afterAutospacing="1"/>
        <w:ind w:firstLine="0"/>
        <w:jc w:val="left"/>
        <w:rPr>
          <w:rFonts w:eastAsia="Times New Roman"/>
        </w:rPr>
      </w:pPr>
    </w:p>
    <w:sectPr w:rsidR="00984FFB" w:rsidRPr="00D130FE"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A642" w14:textId="77777777" w:rsidR="004C50D5" w:rsidRDefault="004C50D5" w:rsidP="000E602D">
      <w:r>
        <w:separator/>
      </w:r>
    </w:p>
  </w:endnote>
  <w:endnote w:type="continuationSeparator" w:id="0">
    <w:p w14:paraId="629C9AD6" w14:textId="77777777" w:rsidR="004C50D5" w:rsidRDefault="004C50D5"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1BCE86F2" w:rsidR="00C8269C" w:rsidRDefault="00EF3740" w:rsidP="00EF3740">
    <w:pPr>
      <w:pStyle w:val="Footer"/>
      <w:ind w:firstLine="0"/>
      <w:jc w:val="center"/>
    </w:pPr>
    <w:r>
      <w:t>VICTUALLING ONBOARD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86F1" w14:textId="77777777" w:rsidR="004C50D5" w:rsidRDefault="004C50D5" w:rsidP="000E602D">
      <w:r>
        <w:separator/>
      </w:r>
    </w:p>
  </w:footnote>
  <w:footnote w:type="continuationSeparator" w:id="0">
    <w:p w14:paraId="22FA0AB3" w14:textId="77777777" w:rsidR="004C50D5" w:rsidRDefault="004C50D5"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7900"/>
    <w:multiLevelType w:val="multilevel"/>
    <w:tmpl w:val="B4E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12266"/>
    <w:multiLevelType w:val="multilevel"/>
    <w:tmpl w:val="D8C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5"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 w15:restartNumberingAfterBreak="0">
    <w:nsid w:val="1E3B7A76"/>
    <w:multiLevelType w:val="multilevel"/>
    <w:tmpl w:val="BA6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01ED7"/>
    <w:multiLevelType w:val="multilevel"/>
    <w:tmpl w:val="A84C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66F85"/>
    <w:multiLevelType w:val="multilevel"/>
    <w:tmpl w:val="03D0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935EF"/>
    <w:multiLevelType w:val="multilevel"/>
    <w:tmpl w:val="A29A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E869AD"/>
    <w:multiLevelType w:val="multilevel"/>
    <w:tmpl w:val="C89C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7D70C8"/>
    <w:multiLevelType w:val="multilevel"/>
    <w:tmpl w:val="D74A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C0426"/>
    <w:multiLevelType w:val="multilevel"/>
    <w:tmpl w:val="C89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6"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7"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25"/>
  </w:num>
  <w:num w:numId="2" w16cid:durableId="679308741">
    <w:abstractNumId w:val="30"/>
  </w:num>
  <w:num w:numId="3" w16cid:durableId="2133396322">
    <w:abstractNumId w:val="4"/>
  </w:num>
  <w:num w:numId="4" w16cid:durableId="484057374">
    <w:abstractNumId w:val="28"/>
  </w:num>
  <w:num w:numId="5" w16cid:durableId="1986273124">
    <w:abstractNumId w:val="26"/>
  </w:num>
  <w:num w:numId="6" w16cid:durableId="1871338608">
    <w:abstractNumId w:val="29"/>
  </w:num>
  <w:num w:numId="7" w16cid:durableId="1213226950">
    <w:abstractNumId w:val="6"/>
  </w:num>
  <w:num w:numId="8" w16cid:durableId="1409185225">
    <w:abstractNumId w:val="24"/>
  </w:num>
  <w:num w:numId="9" w16cid:durableId="531654827">
    <w:abstractNumId w:val="5"/>
  </w:num>
  <w:num w:numId="10" w16cid:durableId="1625774624">
    <w:abstractNumId w:val="14"/>
  </w:num>
  <w:num w:numId="11" w16cid:durableId="472408920">
    <w:abstractNumId w:val="20"/>
  </w:num>
  <w:num w:numId="12" w16cid:durableId="2106000204">
    <w:abstractNumId w:val="27"/>
  </w:num>
  <w:num w:numId="13" w16cid:durableId="1069351341">
    <w:abstractNumId w:val="12"/>
  </w:num>
  <w:num w:numId="14" w16cid:durableId="1757433808">
    <w:abstractNumId w:val="1"/>
  </w:num>
  <w:num w:numId="15" w16cid:durableId="1292440308">
    <w:abstractNumId w:val="10"/>
  </w:num>
  <w:num w:numId="16" w16cid:durableId="2026321091">
    <w:abstractNumId w:val="21"/>
  </w:num>
  <w:num w:numId="17" w16cid:durableId="320961494">
    <w:abstractNumId w:val="19"/>
  </w:num>
  <w:num w:numId="18" w16cid:durableId="321587806">
    <w:abstractNumId w:val="8"/>
  </w:num>
  <w:num w:numId="19" w16cid:durableId="1772895737">
    <w:abstractNumId w:val="22"/>
  </w:num>
  <w:num w:numId="20" w16cid:durableId="1467314688">
    <w:abstractNumId w:val="13"/>
  </w:num>
  <w:num w:numId="21" w16cid:durableId="485709394">
    <w:abstractNumId w:val="30"/>
  </w:num>
  <w:num w:numId="22" w16cid:durableId="744912876">
    <w:abstractNumId w:val="30"/>
  </w:num>
  <w:num w:numId="23" w16cid:durableId="1077825227">
    <w:abstractNumId w:val="30"/>
  </w:num>
  <w:num w:numId="24" w16cid:durableId="383723133">
    <w:abstractNumId w:val="30"/>
  </w:num>
  <w:num w:numId="25" w16cid:durableId="811212384">
    <w:abstractNumId w:val="30"/>
  </w:num>
  <w:num w:numId="26" w16cid:durableId="946961398">
    <w:abstractNumId w:val="30"/>
  </w:num>
  <w:num w:numId="27" w16cid:durableId="1711686137">
    <w:abstractNumId w:val="30"/>
  </w:num>
  <w:num w:numId="28" w16cid:durableId="1315600333">
    <w:abstractNumId w:val="30"/>
  </w:num>
  <w:num w:numId="29" w16cid:durableId="935527417">
    <w:abstractNumId w:val="30"/>
  </w:num>
  <w:num w:numId="30" w16cid:durableId="149686489">
    <w:abstractNumId w:val="30"/>
  </w:num>
  <w:num w:numId="31" w16cid:durableId="1956058516">
    <w:abstractNumId w:val="30"/>
  </w:num>
  <w:num w:numId="32" w16cid:durableId="851995339">
    <w:abstractNumId w:val="30"/>
  </w:num>
  <w:num w:numId="33" w16cid:durableId="365568090">
    <w:abstractNumId w:val="30"/>
  </w:num>
  <w:num w:numId="34" w16cid:durableId="457914664">
    <w:abstractNumId w:val="30"/>
  </w:num>
  <w:num w:numId="35" w16cid:durableId="241187502">
    <w:abstractNumId w:val="30"/>
  </w:num>
  <w:num w:numId="36" w16cid:durableId="443159543">
    <w:abstractNumId w:val="30"/>
  </w:num>
  <w:num w:numId="37" w16cid:durableId="482938702">
    <w:abstractNumId w:val="30"/>
  </w:num>
  <w:num w:numId="38" w16cid:durableId="2109616055">
    <w:abstractNumId w:val="30"/>
  </w:num>
  <w:num w:numId="39" w16cid:durableId="1414857147">
    <w:abstractNumId w:val="30"/>
  </w:num>
  <w:num w:numId="40" w16cid:durableId="1596018175">
    <w:abstractNumId w:val="30"/>
  </w:num>
  <w:num w:numId="41" w16cid:durableId="802238798">
    <w:abstractNumId w:val="30"/>
  </w:num>
  <w:num w:numId="42" w16cid:durableId="687607733">
    <w:abstractNumId w:val="30"/>
  </w:num>
  <w:num w:numId="43" w16cid:durableId="748309232">
    <w:abstractNumId w:val="30"/>
  </w:num>
  <w:num w:numId="44" w16cid:durableId="1274245439">
    <w:abstractNumId w:val="30"/>
  </w:num>
  <w:num w:numId="45" w16cid:durableId="993407882">
    <w:abstractNumId w:val="31"/>
  </w:num>
  <w:num w:numId="46" w16cid:durableId="208146821">
    <w:abstractNumId w:val="0"/>
  </w:num>
  <w:num w:numId="47" w16cid:durableId="569389206">
    <w:abstractNumId w:val="23"/>
  </w:num>
  <w:num w:numId="48" w16cid:durableId="565721827">
    <w:abstractNumId w:val="3"/>
  </w:num>
  <w:num w:numId="49" w16cid:durableId="1837643740">
    <w:abstractNumId w:val="18"/>
  </w:num>
  <w:num w:numId="50" w16cid:durableId="1268077186">
    <w:abstractNumId w:val="16"/>
  </w:num>
  <w:num w:numId="51" w16cid:durableId="929044311">
    <w:abstractNumId w:val="2"/>
  </w:num>
  <w:num w:numId="52" w16cid:durableId="863904610">
    <w:abstractNumId w:val="11"/>
  </w:num>
  <w:num w:numId="53" w16cid:durableId="189687916">
    <w:abstractNumId w:val="7"/>
  </w:num>
  <w:num w:numId="54" w16cid:durableId="1088966461">
    <w:abstractNumId w:val="15"/>
  </w:num>
  <w:num w:numId="55" w16cid:durableId="108553958">
    <w:abstractNumId w:val="9"/>
  </w:num>
  <w:num w:numId="56" w16cid:durableId="8336453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D1E34"/>
    <w:rsid w:val="000E524A"/>
    <w:rsid w:val="000E592D"/>
    <w:rsid w:val="000E602D"/>
    <w:rsid w:val="00101F0C"/>
    <w:rsid w:val="00113217"/>
    <w:rsid w:val="00115395"/>
    <w:rsid w:val="00120B1C"/>
    <w:rsid w:val="00137209"/>
    <w:rsid w:val="00144E6F"/>
    <w:rsid w:val="0016055F"/>
    <w:rsid w:val="0016113B"/>
    <w:rsid w:val="00173E61"/>
    <w:rsid w:val="00175DAA"/>
    <w:rsid w:val="00184EB7"/>
    <w:rsid w:val="0018598D"/>
    <w:rsid w:val="00185E06"/>
    <w:rsid w:val="001962E8"/>
    <w:rsid w:val="001A3E5B"/>
    <w:rsid w:val="001A7B0C"/>
    <w:rsid w:val="001B07F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27A2"/>
    <w:rsid w:val="0027637E"/>
    <w:rsid w:val="0027720B"/>
    <w:rsid w:val="0028465A"/>
    <w:rsid w:val="00287DF5"/>
    <w:rsid w:val="00293993"/>
    <w:rsid w:val="002A0A52"/>
    <w:rsid w:val="002A156A"/>
    <w:rsid w:val="002A1EC9"/>
    <w:rsid w:val="002A5C51"/>
    <w:rsid w:val="002B228D"/>
    <w:rsid w:val="002C28E0"/>
    <w:rsid w:val="002C4027"/>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C50D5"/>
    <w:rsid w:val="004D01B4"/>
    <w:rsid w:val="004D0B77"/>
    <w:rsid w:val="004D31F4"/>
    <w:rsid w:val="004D620A"/>
    <w:rsid w:val="004E1D75"/>
    <w:rsid w:val="004F0D10"/>
    <w:rsid w:val="004F5889"/>
    <w:rsid w:val="0050449B"/>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1313"/>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3767F"/>
    <w:rsid w:val="006412FF"/>
    <w:rsid w:val="006438B8"/>
    <w:rsid w:val="00643B2D"/>
    <w:rsid w:val="0064423E"/>
    <w:rsid w:val="00651379"/>
    <w:rsid w:val="00653204"/>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5712A"/>
    <w:rsid w:val="0076162A"/>
    <w:rsid w:val="00761B27"/>
    <w:rsid w:val="007669C4"/>
    <w:rsid w:val="0077276C"/>
    <w:rsid w:val="00774A01"/>
    <w:rsid w:val="00774A87"/>
    <w:rsid w:val="0078066D"/>
    <w:rsid w:val="00781CA6"/>
    <w:rsid w:val="00781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67A1B"/>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84FFB"/>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5B48"/>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4D14"/>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0C42"/>
    <w:rsid w:val="00CC793A"/>
    <w:rsid w:val="00CE0182"/>
    <w:rsid w:val="00CE17B4"/>
    <w:rsid w:val="00CE3AB0"/>
    <w:rsid w:val="00CF4372"/>
    <w:rsid w:val="00CF478E"/>
    <w:rsid w:val="00D13961"/>
    <w:rsid w:val="00D15D63"/>
    <w:rsid w:val="00D177C1"/>
    <w:rsid w:val="00D35339"/>
    <w:rsid w:val="00D37041"/>
    <w:rsid w:val="00D43830"/>
    <w:rsid w:val="00D43EDC"/>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926F0"/>
    <w:rsid w:val="00EA23D0"/>
    <w:rsid w:val="00EA7ECC"/>
    <w:rsid w:val="00EB66D4"/>
    <w:rsid w:val="00EC0113"/>
    <w:rsid w:val="00EC59F3"/>
    <w:rsid w:val="00ED657C"/>
    <w:rsid w:val="00ED6A3C"/>
    <w:rsid w:val="00EF3740"/>
    <w:rsid w:val="00EF5134"/>
    <w:rsid w:val="00F02B70"/>
    <w:rsid w:val="00F04EEA"/>
    <w:rsid w:val="00F1257B"/>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2DF9"/>
    <w:rsid w:val="00F83BD2"/>
    <w:rsid w:val="00F858FC"/>
    <w:rsid w:val="00F9119E"/>
    <w:rsid w:val="00F918BF"/>
    <w:rsid w:val="00FA0DA8"/>
    <w:rsid w:val="00FA2E71"/>
    <w:rsid w:val="00FA3E64"/>
    <w:rsid w:val="00FA6C70"/>
    <w:rsid w:val="00FB428E"/>
    <w:rsid w:val="00FB5F24"/>
    <w:rsid w:val="00FC2E6E"/>
    <w:rsid w:val="00FC3279"/>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0039373">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43463624">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7</cp:revision>
  <cp:lastPrinted>2025-05-26T19:58:00Z</cp:lastPrinted>
  <dcterms:created xsi:type="dcterms:W3CDTF">2025-07-02T08:53:00Z</dcterms:created>
  <dcterms:modified xsi:type="dcterms:W3CDTF">2025-07-14T14:46:00Z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